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774" w14:textId="77777777" w:rsidR="00CF722C" w:rsidRPr="00CF722C" w:rsidRDefault="00CF722C" w:rsidP="00CF722C">
      <w:pPr>
        <w:jc w:val="center"/>
        <w:rPr>
          <w:lang w:val="es-CR"/>
        </w:rPr>
      </w:pPr>
      <w:r w:rsidRPr="00CF722C">
        <w:rPr>
          <w:b/>
          <w:bCs/>
          <w:lang w:val="es-CR"/>
        </w:rPr>
        <w:t>COMUNICADO INFORMATIVO – CRECEX</w:t>
      </w:r>
      <w:r w:rsidRPr="00CF722C">
        <w:rPr>
          <w:lang w:val="es-CR"/>
        </w:rPr>
        <w:br/>
      </w:r>
      <w:r w:rsidRPr="00CF722C">
        <w:rPr>
          <w:i/>
          <w:iCs/>
          <w:lang w:val="es-CR"/>
        </w:rPr>
        <w:t>Extensión de la vigencia de registros sanitarios de medicamentos y equipo biomédico</w:t>
      </w:r>
    </w:p>
    <w:p w14:paraId="3F2247EB" w14:textId="77777777" w:rsidR="00CF722C" w:rsidRPr="00CF722C" w:rsidRDefault="00CF722C" w:rsidP="006A4AC9">
      <w:pPr>
        <w:jc w:val="both"/>
        <w:rPr>
          <w:lang w:val="es-CR"/>
        </w:rPr>
      </w:pPr>
      <w:r w:rsidRPr="00CF722C">
        <w:rPr>
          <w:lang w:val="es-CR"/>
        </w:rPr>
        <w:t>Estimados asociados:</w:t>
      </w:r>
    </w:p>
    <w:p w14:paraId="212DE6DA" w14:textId="77777777" w:rsidR="00CF722C" w:rsidRPr="00CF722C" w:rsidRDefault="00CF722C" w:rsidP="006A4AC9">
      <w:pPr>
        <w:jc w:val="both"/>
        <w:rPr>
          <w:lang w:val="es-CR"/>
        </w:rPr>
      </w:pPr>
      <w:r w:rsidRPr="00CF722C">
        <w:rPr>
          <w:lang w:val="es-CR"/>
        </w:rPr>
        <w:t xml:space="preserve">Les informamos que mediante la </w:t>
      </w:r>
      <w:r w:rsidRPr="00CF722C">
        <w:rPr>
          <w:b/>
          <w:bCs/>
          <w:lang w:val="es-CR"/>
        </w:rPr>
        <w:t>Resolución MS-DM-2349-2025</w:t>
      </w:r>
      <w:r w:rsidRPr="00CF722C">
        <w:rPr>
          <w:lang w:val="es-CR"/>
        </w:rPr>
        <w:t>, publicada en el Alcance N.° 64 a La Gaceta N.° 91 del 21 de mayo de 2025, el Ministerio de Salud ha dispuesto extender excepcionalmente la vigencia de ciertos registros sanitarios, conforme se detalla a continuación:</w:t>
      </w:r>
    </w:p>
    <w:p w14:paraId="6B0E9B7B" w14:textId="77777777" w:rsidR="0017281D" w:rsidRDefault="00CF722C" w:rsidP="006A4AC9">
      <w:pPr>
        <w:numPr>
          <w:ilvl w:val="0"/>
          <w:numId w:val="1"/>
        </w:numPr>
        <w:jc w:val="both"/>
        <w:rPr>
          <w:lang w:val="es-CR"/>
        </w:rPr>
      </w:pPr>
      <w:r w:rsidRPr="00CF722C">
        <w:rPr>
          <w:b/>
          <w:bCs/>
          <w:lang w:val="es-CR"/>
        </w:rPr>
        <w:t>Equipo y material biomédico</w:t>
      </w:r>
      <w:r w:rsidRPr="00CF722C">
        <w:rPr>
          <w:lang w:val="es-CR"/>
        </w:rPr>
        <w:t>:</w:t>
      </w:r>
    </w:p>
    <w:p w14:paraId="78FE02EC" w14:textId="2A6FA490" w:rsidR="00CF722C" w:rsidRPr="00CF722C" w:rsidRDefault="00CF722C" w:rsidP="0017281D">
      <w:pPr>
        <w:ind w:left="720"/>
        <w:jc w:val="both"/>
        <w:rPr>
          <w:lang w:val="es-CR"/>
        </w:rPr>
      </w:pPr>
      <w:r w:rsidRPr="00CF722C">
        <w:rPr>
          <w:lang w:val="es-CR"/>
        </w:rPr>
        <w:t xml:space="preserve">Se prorroga por </w:t>
      </w:r>
      <w:r w:rsidRPr="00CF722C">
        <w:rPr>
          <w:b/>
          <w:bCs/>
          <w:lang w:val="es-CR"/>
        </w:rPr>
        <w:t>seis meses</w:t>
      </w:r>
      <w:r w:rsidRPr="00CF722C">
        <w:rPr>
          <w:lang w:val="es-CR"/>
        </w:rPr>
        <w:t xml:space="preserve"> la vigencia de los registros sanitarios que vencen entre el </w:t>
      </w:r>
      <w:r w:rsidRPr="00CF722C">
        <w:rPr>
          <w:b/>
          <w:bCs/>
          <w:lang w:val="es-CR"/>
        </w:rPr>
        <w:t>1 de abril y el 30 de septiembre de 2025</w:t>
      </w:r>
      <w:r w:rsidRPr="00CF722C">
        <w:rPr>
          <w:lang w:val="es-CR"/>
        </w:rPr>
        <w:t xml:space="preserve">, únicamente si la renovación ya ha sido ingresada en la plataforma </w:t>
      </w:r>
      <w:r w:rsidRPr="00CF722C">
        <w:rPr>
          <w:b/>
          <w:bCs/>
          <w:lang w:val="es-CR"/>
        </w:rPr>
        <w:t>Regístrelo</w:t>
      </w:r>
      <w:r w:rsidRPr="00CF722C">
        <w:rPr>
          <w:lang w:val="es-CR"/>
        </w:rPr>
        <w:t xml:space="preserve"> al momento de la entrada en vigor de esta resolución.</w:t>
      </w:r>
    </w:p>
    <w:p w14:paraId="29294BEF" w14:textId="77777777" w:rsidR="0017281D" w:rsidRDefault="00CF722C" w:rsidP="006A4AC9">
      <w:pPr>
        <w:numPr>
          <w:ilvl w:val="0"/>
          <w:numId w:val="1"/>
        </w:numPr>
        <w:jc w:val="both"/>
        <w:rPr>
          <w:lang w:val="es-CR"/>
        </w:rPr>
      </w:pPr>
      <w:r w:rsidRPr="00CF722C">
        <w:rPr>
          <w:b/>
          <w:bCs/>
          <w:lang w:val="es-CR"/>
        </w:rPr>
        <w:t>Medicamentos de síntesis química</w:t>
      </w:r>
      <w:r w:rsidRPr="00CF722C">
        <w:rPr>
          <w:lang w:val="es-CR"/>
        </w:rPr>
        <w:t>:</w:t>
      </w:r>
    </w:p>
    <w:p w14:paraId="43C30DBF" w14:textId="3052CE64" w:rsidR="00CF722C" w:rsidRPr="00CF722C" w:rsidRDefault="00CF722C" w:rsidP="0017281D">
      <w:pPr>
        <w:ind w:left="720"/>
        <w:jc w:val="both"/>
        <w:rPr>
          <w:lang w:val="es-CR"/>
        </w:rPr>
      </w:pPr>
      <w:r w:rsidRPr="00CF722C">
        <w:rPr>
          <w:lang w:val="es-CR"/>
        </w:rPr>
        <w:t xml:space="preserve">Se prorroga por </w:t>
      </w:r>
      <w:r w:rsidRPr="00CF722C">
        <w:rPr>
          <w:b/>
          <w:bCs/>
          <w:lang w:val="es-CR"/>
        </w:rPr>
        <w:t>cinco meses</w:t>
      </w:r>
      <w:r w:rsidRPr="00CF722C">
        <w:rPr>
          <w:lang w:val="es-CR"/>
        </w:rPr>
        <w:t xml:space="preserve"> la vigencia de los registros que vencen entre el </w:t>
      </w:r>
      <w:r w:rsidRPr="00CF722C">
        <w:rPr>
          <w:b/>
          <w:bCs/>
          <w:lang w:val="es-CR"/>
        </w:rPr>
        <w:t>1 y el 30 de junio de 2025</w:t>
      </w:r>
      <w:r w:rsidRPr="00CF722C">
        <w:rPr>
          <w:lang w:val="es-CR"/>
        </w:rPr>
        <w:t>, también condicionado a que exista una solicitud de renovación ingresada en Regístrelo.</w:t>
      </w:r>
    </w:p>
    <w:p w14:paraId="5927F526" w14:textId="77777777" w:rsidR="0017281D" w:rsidRDefault="00CF722C" w:rsidP="006A4AC9">
      <w:pPr>
        <w:numPr>
          <w:ilvl w:val="0"/>
          <w:numId w:val="1"/>
        </w:numPr>
        <w:jc w:val="both"/>
        <w:rPr>
          <w:lang w:val="es-CR"/>
        </w:rPr>
      </w:pPr>
      <w:r w:rsidRPr="00CF722C">
        <w:rPr>
          <w:b/>
          <w:bCs/>
          <w:lang w:val="es-CR"/>
        </w:rPr>
        <w:t>Medicamentos que requieren equivalencia terapéutica</w:t>
      </w:r>
      <w:r w:rsidRPr="00CF722C">
        <w:rPr>
          <w:lang w:val="es-CR"/>
        </w:rPr>
        <w:t>:</w:t>
      </w:r>
    </w:p>
    <w:p w14:paraId="2CF33586" w14:textId="6CF49230" w:rsidR="00CF722C" w:rsidRPr="00CF722C" w:rsidRDefault="00CF722C" w:rsidP="0017281D">
      <w:pPr>
        <w:ind w:left="720"/>
        <w:jc w:val="both"/>
        <w:rPr>
          <w:lang w:val="es-CR"/>
        </w:rPr>
      </w:pPr>
      <w:r w:rsidRPr="00CF722C">
        <w:rPr>
          <w:lang w:val="es-CR"/>
        </w:rPr>
        <w:t xml:space="preserve">Se mantiene la extensión previa de </w:t>
      </w:r>
      <w:r w:rsidRPr="00CF722C">
        <w:rPr>
          <w:b/>
          <w:bCs/>
          <w:lang w:val="es-CR"/>
        </w:rPr>
        <w:t>12 meses</w:t>
      </w:r>
      <w:r w:rsidRPr="00CF722C">
        <w:rPr>
          <w:lang w:val="es-CR"/>
        </w:rPr>
        <w:t xml:space="preserve"> otorgada por la resolución MS-DM-847-2025, para registros ingresados según la resolución MS-DM-5437-2023.</w:t>
      </w:r>
    </w:p>
    <w:p w14:paraId="0959270E" w14:textId="77777777" w:rsidR="00CF722C" w:rsidRPr="00CF722C" w:rsidRDefault="00CF722C" w:rsidP="006A4AC9">
      <w:pPr>
        <w:numPr>
          <w:ilvl w:val="0"/>
          <w:numId w:val="1"/>
        </w:numPr>
        <w:jc w:val="both"/>
        <w:rPr>
          <w:lang w:val="es-CR"/>
        </w:rPr>
      </w:pPr>
      <w:r w:rsidRPr="00CF722C">
        <w:rPr>
          <w:lang w:val="es-CR"/>
        </w:rPr>
        <w:t xml:space="preserve">Se </w:t>
      </w:r>
      <w:r w:rsidRPr="00CF722C">
        <w:rPr>
          <w:b/>
          <w:bCs/>
          <w:lang w:val="es-CR"/>
        </w:rPr>
        <w:t>advierte</w:t>
      </w:r>
      <w:r w:rsidRPr="00CF722C">
        <w:rPr>
          <w:lang w:val="es-CR"/>
        </w:rPr>
        <w:t xml:space="preserve"> a los interesados que deberán someter las renovaciones con suficiente antelación al vencimiento original del registro y considerar si existen trámites de cambios post-registro pendientes.</w:t>
      </w:r>
    </w:p>
    <w:p w14:paraId="3C3C019A" w14:textId="77777777" w:rsidR="00CF722C" w:rsidRPr="00CF722C" w:rsidRDefault="00CF722C" w:rsidP="006A4AC9">
      <w:pPr>
        <w:numPr>
          <w:ilvl w:val="0"/>
          <w:numId w:val="1"/>
        </w:numPr>
        <w:jc w:val="both"/>
        <w:rPr>
          <w:lang w:val="es-CR"/>
        </w:rPr>
      </w:pPr>
      <w:r w:rsidRPr="00CF722C">
        <w:rPr>
          <w:lang w:val="es-CR"/>
        </w:rPr>
        <w:t xml:space="preserve">Los registros beneficiados por esta prórroga </w:t>
      </w:r>
      <w:r w:rsidRPr="00CF722C">
        <w:rPr>
          <w:b/>
          <w:bCs/>
          <w:lang w:val="es-CR"/>
        </w:rPr>
        <w:t>no serán sujetos de agilización</w:t>
      </w:r>
      <w:r w:rsidRPr="00CF722C">
        <w:rPr>
          <w:lang w:val="es-CR"/>
        </w:rPr>
        <w:t xml:space="preserve"> en ningún trámite relacionado.</w:t>
      </w:r>
    </w:p>
    <w:p w14:paraId="65164FA7" w14:textId="77777777" w:rsidR="00CF722C" w:rsidRPr="00CF722C" w:rsidRDefault="00CF722C" w:rsidP="006A4AC9">
      <w:pPr>
        <w:jc w:val="both"/>
        <w:rPr>
          <w:lang w:val="es-CR"/>
        </w:rPr>
      </w:pPr>
      <w:r w:rsidRPr="00CF722C">
        <w:rPr>
          <w:lang w:val="es-CR"/>
        </w:rPr>
        <w:t xml:space="preserve">Estas medidas entran en vigor </w:t>
      </w:r>
      <w:r w:rsidRPr="00CF722C">
        <w:rPr>
          <w:b/>
          <w:bCs/>
          <w:lang w:val="es-CR"/>
        </w:rPr>
        <w:t>a partir de la fecha de su publicación oficial</w:t>
      </w:r>
      <w:r w:rsidRPr="00CF722C">
        <w:rPr>
          <w:lang w:val="es-CR"/>
        </w:rPr>
        <w:t>.</w:t>
      </w:r>
    </w:p>
    <w:p w14:paraId="23FAAA4A" w14:textId="77777777" w:rsidR="00CF722C" w:rsidRPr="00CF722C" w:rsidRDefault="00CF722C" w:rsidP="006A4AC9">
      <w:pPr>
        <w:jc w:val="both"/>
        <w:rPr>
          <w:lang w:val="es-CR"/>
        </w:rPr>
      </w:pPr>
      <w:r w:rsidRPr="00CF722C">
        <w:rPr>
          <w:lang w:val="es-CR"/>
        </w:rPr>
        <w:t>Para más información o asistencia, no duden en contactar a nuestro equipo técnico.</w:t>
      </w:r>
    </w:p>
    <w:p w14:paraId="62638C95" w14:textId="77777777" w:rsidR="00CF722C" w:rsidRPr="00CF722C" w:rsidRDefault="00CF722C" w:rsidP="006A4AC9">
      <w:pPr>
        <w:jc w:val="both"/>
        <w:rPr>
          <w:lang w:val="es-CR"/>
        </w:rPr>
      </w:pPr>
      <w:r w:rsidRPr="00CF722C">
        <w:rPr>
          <w:lang w:val="es-CR"/>
        </w:rPr>
        <w:t>Atentamente,</w:t>
      </w:r>
      <w:r w:rsidRPr="00CF722C">
        <w:rPr>
          <w:lang w:val="es-CR"/>
        </w:rPr>
        <w:br/>
      </w:r>
      <w:r w:rsidRPr="00CF722C">
        <w:rPr>
          <w:b/>
          <w:bCs/>
          <w:lang w:val="es-CR"/>
        </w:rPr>
        <w:t>Cámara Costarricense de Comercio Exterior (CRECEX)</w:t>
      </w:r>
    </w:p>
    <w:p w14:paraId="47EA467F" w14:textId="77777777" w:rsidR="00547BAE" w:rsidRPr="00CF722C" w:rsidRDefault="00547BAE" w:rsidP="006A4AC9">
      <w:pPr>
        <w:jc w:val="both"/>
        <w:rPr>
          <w:lang w:val="es-CR"/>
        </w:rPr>
      </w:pPr>
    </w:p>
    <w:sectPr w:rsidR="00547BAE" w:rsidRPr="00CF7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A369A"/>
    <w:multiLevelType w:val="multilevel"/>
    <w:tmpl w:val="D34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55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2C"/>
    <w:rsid w:val="0017281D"/>
    <w:rsid w:val="004429EA"/>
    <w:rsid w:val="00547BAE"/>
    <w:rsid w:val="006A4AC9"/>
    <w:rsid w:val="006A6656"/>
    <w:rsid w:val="00AC6874"/>
    <w:rsid w:val="00CF722C"/>
    <w:rsid w:val="00F4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5389"/>
  <w15:chartTrackingRefBased/>
  <w15:docId w15:val="{96331B50-B0D8-4EDE-BBF7-B22702D1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Calderón Enríquez</dc:creator>
  <cp:keywords/>
  <dc:description/>
  <cp:lastModifiedBy>Andrei Calderón Enríquez</cp:lastModifiedBy>
  <cp:revision>3</cp:revision>
  <dcterms:created xsi:type="dcterms:W3CDTF">2025-05-22T21:53:00Z</dcterms:created>
  <dcterms:modified xsi:type="dcterms:W3CDTF">2025-05-22T21:54:00Z</dcterms:modified>
</cp:coreProperties>
</file>